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/>
          <w:sz w:val="18"/>
          <w:szCs w:val="18"/>
          <w:lang w:val="en-US"/>
        </w:rPr>
      </w:pPr>
      <w:r>
        <w:rPr>
          <w:rFonts w:hint="eastAsia" w:ascii="Times New Roman" w:hAnsi="Times New Roman"/>
          <w:sz w:val="18"/>
          <w:szCs w:val="18"/>
          <w:lang w:val="en-US" w:eastAsia="zh-CN"/>
        </w:rPr>
        <w:t>S</w:t>
      </w:r>
      <w:r>
        <w:rPr>
          <w:rFonts w:hint="default" w:ascii="Times New Roman" w:hAnsi="Times New Roman"/>
          <w:sz w:val="18"/>
          <w:szCs w:val="18"/>
          <w:lang w:val="en-US"/>
        </w:rPr>
        <w:t>upplementary t</w:t>
      </w:r>
      <w:r>
        <w:rPr>
          <w:rFonts w:ascii="Times New Roman" w:hAnsi="Times New Roman"/>
          <w:sz w:val="18"/>
          <w:szCs w:val="18"/>
        </w:rPr>
        <w:t xml:space="preserve">able </w:t>
      </w:r>
      <w:r>
        <w:rPr>
          <w:rFonts w:hint="default" w:ascii="Times New Roman" w:hAnsi="Times New Roman"/>
          <w:sz w:val="18"/>
          <w:szCs w:val="18"/>
          <w:lang w:val="en-US"/>
        </w:rPr>
        <w:t>1</w:t>
      </w:r>
      <w:r>
        <w:rPr>
          <w:rFonts w:ascii="Times New Roman" w:hAnsi="Times New Roman"/>
          <w:sz w:val="18"/>
          <w:szCs w:val="18"/>
        </w:rPr>
        <w:t xml:space="preserve">. </w:t>
      </w:r>
      <w:r>
        <w:rPr>
          <w:rFonts w:hint="eastAsia" w:ascii="Times New Roman" w:hAnsi="Times New Roman"/>
          <w:sz w:val="18"/>
          <w:szCs w:val="18"/>
        </w:rPr>
        <w:t>VT origin</w:t>
      </w:r>
      <w:r>
        <w:rPr>
          <w:rFonts w:hint="default" w:ascii="Times New Roman" w:hAnsi="Times New Roman"/>
          <w:sz w:val="18"/>
          <w:szCs w:val="18"/>
          <w:lang w:val="en-US"/>
        </w:rPr>
        <w:t>.</w:t>
      </w:r>
    </w:p>
    <w:tbl>
      <w:tblPr>
        <w:tblStyle w:val="2"/>
        <w:tblW w:w="7916" w:type="dxa"/>
        <w:tblInd w:w="13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1"/>
        <w:gridCol w:w="1200"/>
        <w:gridCol w:w="1630"/>
        <w:gridCol w:w="1125"/>
        <w:gridCol w:w="1730"/>
      </w:tblGrid>
      <w:tr>
        <w:trPr>
          <w:trHeight w:val="336" w:hRule="atLeast"/>
        </w:trPr>
        <w:tc>
          <w:tcPr>
            <w:tcW w:w="2231" w:type="dxa"/>
            <w:tcBorders>
              <w:top w:val="single" w:color="auto" w:sz="12" w:space="0"/>
              <w:left w:val="nil"/>
              <w:bottom w:val="single" w:color="FFFFFF" w:sz="6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30" w:type="dxa"/>
            <w:gridSpan w:val="2"/>
            <w:tcBorders>
              <w:top w:val="single" w:color="auto" w:sz="12" w:space="0"/>
              <w:left w:val="nil"/>
              <w:bottom w:val="single" w:color="000000" w:sz="6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等线" w:cs="Times New Roman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>Unmatched</w:t>
            </w:r>
          </w:p>
        </w:tc>
        <w:tc>
          <w:tcPr>
            <w:tcW w:w="2855" w:type="dxa"/>
            <w:gridSpan w:val="2"/>
            <w:tcBorders>
              <w:top w:val="single" w:color="auto" w:sz="12" w:space="0"/>
              <w:left w:val="nil"/>
              <w:bottom w:val="single" w:color="000000" w:sz="6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等线" w:cs="Times New Roman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>Matched</w:t>
            </w:r>
          </w:p>
        </w:tc>
      </w:tr>
      <w:tr>
        <w:trPr>
          <w:trHeight w:val="336" w:hRule="atLeast"/>
        </w:trPr>
        <w:tc>
          <w:tcPr>
            <w:tcW w:w="2231" w:type="dxa"/>
            <w:tcBorders>
              <w:top w:val="single" w:color="FFFFFF" w:sz="6" w:space="0"/>
              <w:left w:val="nil"/>
              <w:bottom w:val="single" w:color="000000" w:sz="6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color="FFFFFF" w:sz="4" w:space="0"/>
              <w:left w:val="nil"/>
              <w:bottom w:val="single" w:color="000000" w:sz="6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>ICM (n=1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>09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>)</w:t>
            </w:r>
          </w:p>
        </w:tc>
        <w:tc>
          <w:tcPr>
            <w:tcW w:w="1630" w:type="dxa"/>
            <w:tcBorders>
              <w:top w:val="single" w:color="FFFFFF" w:sz="4" w:space="0"/>
              <w:left w:val="nil"/>
              <w:bottom w:val="single" w:color="000000" w:sz="6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>Myocarditis (n=20)</w:t>
            </w:r>
          </w:p>
        </w:tc>
        <w:tc>
          <w:tcPr>
            <w:tcW w:w="1125" w:type="dxa"/>
            <w:tcBorders>
              <w:top w:val="single" w:color="FFFFFF" w:sz="4" w:space="0"/>
              <w:left w:val="nil"/>
              <w:bottom w:val="single" w:color="000000" w:sz="6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>ICM (n=20)</w:t>
            </w:r>
          </w:p>
        </w:tc>
        <w:tc>
          <w:tcPr>
            <w:tcW w:w="1730" w:type="dxa"/>
            <w:tcBorders>
              <w:top w:val="single" w:color="FFFFFF" w:sz="4" w:space="0"/>
              <w:left w:val="nil"/>
              <w:bottom w:val="single" w:color="000000" w:sz="6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>Myocarditis (n=12)</w:t>
            </w:r>
          </w:p>
        </w:tc>
      </w:tr>
      <w:tr>
        <w:trPr>
          <w:trHeight w:val="336" w:hRule="atLeast"/>
        </w:trPr>
        <w:tc>
          <w:tcPr>
            <w:tcW w:w="2231" w:type="dxa"/>
            <w:tcBorders>
              <w:top w:val="single" w:color="000000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 xml:space="preserve">Left ventricular </w:t>
            </w:r>
          </w:p>
        </w:tc>
        <w:tc>
          <w:tcPr>
            <w:tcW w:w="1200" w:type="dxa"/>
            <w:tcBorders>
              <w:top w:val="single" w:color="000000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color="000000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color="000000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30" w:type="dxa"/>
            <w:tcBorders>
              <w:top w:val="single" w:color="000000" w:sz="6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</w:rPr>
            </w:pPr>
          </w:p>
        </w:tc>
      </w:tr>
      <w:tr>
        <w:trPr>
          <w:trHeight w:val="336" w:hRule="atLeast"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90" w:firstLineChars="50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>Free wall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  <w:t>12 (11.0%)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等线" w:cs="Times New Roman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>2 (10.0%)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  <w:t>4 (20.0%)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  <w:t xml:space="preserve">1 </w:t>
            </w:r>
            <w:bookmarkStart w:id="0" w:name="_GoBack"/>
            <w:bookmarkEnd w:id="0"/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  <w:t>(8.3%)</w:t>
            </w:r>
          </w:p>
        </w:tc>
      </w:tr>
      <w:tr>
        <w:trPr>
          <w:trHeight w:val="336" w:hRule="atLeast"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 xml:space="preserve"> Anterior wall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  <w:t>16 (14.7%)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 w:eastAsia="zh-CN" w:bidi="ar"/>
                <w14:ligatures w14:val="standardContextual"/>
              </w:rPr>
              <w:t>3 (15.0%)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  <w:t>2 (10.0%)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/>
              </w:rPr>
              <w:t>3 (25.0%)</w:t>
            </w:r>
          </w:p>
        </w:tc>
      </w:tr>
      <w:tr>
        <w:trPr>
          <w:trHeight w:val="336" w:hRule="atLeast"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 xml:space="preserve"> Inferior wall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/>
              </w:rPr>
              <w:t>31 (28.4%)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 w:eastAsia="zh-CN" w:bidi="ar"/>
                <w14:ligatures w14:val="standardContextual"/>
              </w:rPr>
              <w:t>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/>
              </w:rPr>
              <w:t>2 (10.0%)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/>
              </w:rPr>
              <w:t>0</w:t>
            </w:r>
          </w:p>
        </w:tc>
      </w:tr>
      <w:tr>
        <w:trPr>
          <w:trHeight w:val="336" w:hRule="atLeast"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90" w:firstLineChars="50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>Posterior wall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/>
              </w:rPr>
              <w:t>1 (0.9%)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 w:eastAsia="zh-CN" w:bidi="ar"/>
                <w14:ligatures w14:val="standardContextual"/>
              </w:rPr>
              <w:t>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  <w:t>1 (5.0%)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/>
              </w:rPr>
              <w:t>0</w:t>
            </w:r>
          </w:p>
        </w:tc>
      </w:tr>
      <w:tr>
        <w:trPr>
          <w:trHeight w:val="336" w:hRule="atLeast"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90" w:firstLineChars="50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>Apex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/>
              </w:rPr>
              <w:t>18 (16.5%)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 w:eastAsia="zh-CN" w:bidi="ar"/>
                <w14:ligatures w14:val="standardContextual"/>
              </w:rPr>
              <w:t>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/>
              </w:rPr>
              <w:t>2 (10.0%)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/>
              </w:rPr>
              <w:t>0</w:t>
            </w:r>
          </w:p>
        </w:tc>
      </w:tr>
      <w:tr>
        <w:trPr>
          <w:trHeight w:val="336" w:hRule="atLeast"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90" w:firstLineChars="50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>Papillary muscle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  <w:t>1 (0.9%)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>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  <w:t>1 (5.0%)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  <w:t>0</w:t>
            </w:r>
          </w:p>
        </w:tc>
      </w:tr>
      <w:tr>
        <w:trPr>
          <w:trHeight w:val="336" w:hRule="atLeast"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 xml:space="preserve"> Summit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  <w:t>1 (0.9%)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 w:eastAsia="zh-CN" w:bidi="ar"/>
                <w14:ligatures w14:val="standardContextual"/>
              </w:rPr>
              <w:t>1 (5.0%)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/>
              </w:rPr>
              <w:t>1 (8.3%)</w:t>
            </w:r>
          </w:p>
        </w:tc>
      </w:tr>
      <w:tr>
        <w:trPr>
          <w:trHeight w:val="336" w:hRule="atLeast"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90" w:firstLineChars="50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>Interventricular septum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  <w:t>19 (17.4%)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 w:eastAsia="zh-CN" w:bidi="ar"/>
                <w14:ligatures w14:val="standardContextual"/>
              </w:rPr>
              <w:t>2 (10.0%)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  <w:t>4 (20.0%)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/>
              </w:rPr>
              <w:t>1 (8.3%)</w:t>
            </w:r>
          </w:p>
        </w:tc>
      </w:tr>
      <w:tr>
        <w:trPr>
          <w:trHeight w:val="336" w:hRule="atLeast"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>Right ventricular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</w:rPr>
            </w:pPr>
          </w:p>
        </w:tc>
      </w:tr>
      <w:tr>
        <w:trPr>
          <w:trHeight w:val="336" w:hRule="atLeast"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 xml:space="preserve"> Free wall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  <w:t>1 (0.9%)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 w:eastAsia="zh-CN" w:bidi="ar"/>
                <w14:ligatures w14:val="standardContextual"/>
              </w:rPr>
              <w:t>2 (10.0%)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  <w:t>1 (5.0%)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/>
              </w:rPr>
              <w:t>0</w:t>
            </w:r>
          </w:p>
        </w:tc>
      </w:tr>
      <w:tr>
        <w:trPr>
          <w:trHeight w:val="336" w:hRule="atLeast"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90" w:firstLineChars="50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>Inferior wall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 w:eastAsia="zh-CN" w:bidi="ar"/>
                <w14:ligatures w14:val="standardContextual"/>
              </w:rPr>
              <w:t>1 (5.0%)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/>
              </w:rPr>
              <w:t>0</w:t>
            </w:r>
          </w:p>
        </w:tc>
      </w:tr>
      <w:tr>
        <w:trPr>
          <w:trHeight w:val="336" w:hRule="atLeast"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90" w:firstLineChars="50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>RVOT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 w:eastAsia="zh-CN" w:bidi="ar"/>
                <w14:ligatures w14:val="standardContextual"/>
              </w:rPr>
              <w:t>1 (5.0%)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/>
              </w:rPr>
              <w:t>0</w:t>
            </w:r>
          </w:p>
        </w:tc>
      </w:tr>
      <w:tr>
        <w:trPr>
          <w:trHeight w:val="336" w:hRule="atLeast"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90" w:firstLineChars="50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>Interventricular septum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  <w:t>3 (2.8%)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 w:eastAsia="zh-CN" w:bidi="ar"/>
                <w14:ligatures w14:val="standardContextual"/>
              </w:rPr>
              <w:t xml:space="preserve">4 (20.0%)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  <w:t>1 (5.0%)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/>
              </w:rPr>
              <w:t>3 (25.0%)</w:t>
            </w:r>
          </w:p>
        </w:tc>
      </w:tr>
      <w:tr>
        <w:trPr>
          <w:trHeight w:val="336" w:hRule="atLeast"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90" w:firstLineChars="50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>Papillary muscle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  <w:t>1 (0.9%)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 w:eastAsia="zh-CN" w:bidi="ar"/>
                <w14:ligatures w14:val="standardContextual"/>
              </w:rPr>
              <w:t>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/>
              </w:rPr>
              <w:t>0</w:t>
            </w:r>
          </w:p>
        </w:tc>
      </w:tr>
      <w:tr>
        <w:trPr>
          <w:trHeight w:val="336" w:hRule="atLeast"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90" w:firstLineChars="50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>AMC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 w:eastAsia="zh-CN" w:bidi="ar"/>
                <w14:ligatures w14:val="standardContextual"/>
              </w:rPr>
              <w:t>1 (5.0%)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/>
              </w:rPr>
              <w:t>1 (8.3%)</w:t>
            </w:r>
          </w:p>
        </w:tc>
      </w:tr>
      <w:tr>
        <w:trPr>
          <w:trHeight w:val="336" w:hRule="atLeast"/>
        </w:trPr>
        <w:tc>
          <w:tcPr>
            <w:tcW w:w="2231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  <w14:ligatures w14:val="standardContextual"/>
              </w:rPr>
              <w:t>Epicardium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/>
              </w:rPr>
              <w:t>5 (4.6%)</w:t>
            </w:r>
          </w:p>
        </w:tc>
        <w:tc>
          <w:tcPr>
            <w:tcW w:w="163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 w:eastAsia="zh-CN" w:bidi="ar"/>
                <w14:ligatures w14:val="standardContextual"/>
              </w:rPr>
              <w:t>3 (15%)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/>
              </w:rPr>
              <w:t>2 (10.0%)</w:t>
            </w:r>
          </w:p>
        </w:tc>
        <w:tc>
          <w:tcPr>
            <w:tcW w:w="1730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2"/>
                <w:sz w:val="18"/>
                <w:szCs w:val="18"/>
                <w:lang w:val="en-US"/>
              </w:rPr>
              <w:t>2 (16.7%)</w:t>
            </w:r>
          </w:p>
        </w:tc>
      </w:tr>
    </w:tbl>
    <w:p>
      <w:pPr>
        <w:rPr>
          <w:rFonts w:hint="default" w:ascii="Times New Roman Regular" w:hAnsi="Times New Roman Regular" w:cs="Times New Roman Regular" w:eastAsiaTheme="minorEastAsia"/>
          <w:sz w:val="18"/>
          <w:szCs w:val="18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18"/>
          <w:szCs w:val="18"/>
          <w:lang w:val="en-US" w:eastAsia="zh-CN" w:bidi="ar"/>
          <w14:ligatures w14:val="standardContextual"/>
        </w:rPr>
        <w:t xml:space="preserve">AMC, Aortic-mitral continuity; </w:t>
      </w:r>
      <w:r>
        <w:rPr>
          <w:rFonts w:hint="default" w:ascii="Times New Roman Regular" w:hAnsi="Times New Roman Regular" w:cs="Times New Roman Regular"/>
          <w:sz w:val="18"/>
          <w:szCs w:val="18"/>
          <w:lang w:val="en-US" w:eastAsia="zh-CN"/>
        </w:rPr>
        <w:t>RVOT, right ventricular outflow tract; VT, ventricular tachycardia.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Regular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7E2841D"/>
    <w:rsid w:val="5F77D8B1"/>
    <w:rsid w:val="B7E2841D"/>
    <w:rsid w:val="BFAFD550"/>
    <w:rsid w:val="EEEF5150"/>
    <w:rsid w:val="FEF9F800"/>
    <w:rsid w:val="FEFFC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standardContextual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108</TotalTime>
  <ScaleCrop>false</ScaleCrop>
  <LinksUpToDate>false</LinksUpToDate>
  <CharactersWithSpaces>0</CharactersWithSpaces>
  <Application>WPS Office_6.4.0.8550_F1E327BC-269C-435d-A152-05C5408002CA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2024-05-23T06:59:00Z</dcterms:created>
  <dc:creator>苏省</dc:creator>
  <cp:lastModifiedBy>苏省</cp:lastModifiedBy>
  <dcterms:modified xsi:type="dcterms:W3CDTF">2024-07-08T09:43:26Z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ICV">
    <vt:lpwstr>0A5C7736BF612CF5C7B64C66C7EE8789_41</vt:lpwstr>
  </property>
</Properties>
</file>